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FAB" w:rsidRPr="007E0BC8" w:rsidRDefault="00304FAB" w:rsidP="00304FAB">
      <w:pPr>
        <w:keepNext/>
        <w:keepLines/>
        <w:widowControl w:val="0"/>
        <w:tabs>
          <w:tab w:val="left" w:pos="0"/>
          <w:tab w:val="left" w:pos="709"/>
        </w:tabs>
        <w:ind w:firstLine="567"/>
        <w:contextualSpacing/>
        <w:jc w:val="center"/>
        <w:rPr>
          <w:b/>
          <w:bCs/>
          <w:sz w:val="20"/>
          <w:szCs w:val="20"/>
          <w:lang w:val="uk-UA"/>
        </w:rPr>
      </w:pPr>
      <w:r w:rsidRPr="007E0BC8">
        <w:rPr>
          <w:b/>
          <w:bCs/>
          <w:sz w:val="20"/>
          <w:szCs w:val="20"/>
          <w:lang w:val="uk-UA"/>
        </w:rPr>
        <w:t>Доповнення № 1</w:t>
      </w:r>
      <w:r w:rsidRPr="007E0BC8">
        <w:rPr>
          <w:b/>
          <w:sz w:val="20"/>
          <w:szCs w:val="20"/>
          <w:lang w:val="uk-UA"/>
        </w:rPr>
        <w:t xml:space="preserve"> до  ДОГОВОРУ № ______А/____</w:t>
      </w:r>
    </w:p>
    <w:p w:rsidR="00304FAB" w:rsidRPr="007E0BC8" w:rsidRDefault="00304FAB" w:rsidP="00304FAB">
      <w:pPr>
        <w:keepNext/>
        <w:keepLines/>
        <w:widowControl w:val="0"/>
        <w:tabs>
          <w:tab w:val="left" w:pos="0"/>
          <w:tab w:val="left" w:pos="709"/>
        </w:tabs>
        <w:ind w:firstLine="567"/>
        <w:contextualSpacing/>
        <w:jc w:val="center"/>
        <w:rPr>
          <w:b/>
          <w:bCs/>
          <w:sz w:val="20"/>
          <w:szCs w:val="20"/>
          <w:lang w:val="uk-UA"/>
        </w:rPr>
      </w:pPr>
      <w:r w:rsidRPr="007E0BC8">
        <w:rPr>
          <w:b/>
          <w:bCs/>
          <w:sz w:val="20"/>
          <w:szCs w:val="20"/>
          <w:lang w:val="uk-UA"/>
        </w:rPr>
        <w:t xml:space="preserve">про визнання електронних документів </w:t>
      </w:r>
    </w:p>
    <w:p w:rsidR="00304FAB" w:rsidRPr="007E0BC8" w:rsidRDefault="00304FAB" w:rsidP="00304FAB">
      <w:pPr>
        <w:keepNext/>
        <w:keepLines/>
        <w:widowControl w:val="0"/>
        <w:tabs>
          <w:tab w:val="left" w:pos="0"/>
          <w:tab w:val="left" w:pos="709"/>
        </w:tabs>
        <w:ind w:firstLine="567"/>
        <w:contextualSpacing/>
        <w:jc w:val="center"/>
        <w:rPr>
          <w:b/>
          <w:bCs/>
          <w:sz w:val="20"/>
          <w:szCs w:val="20"/>
          <w:lang w:val="uk-UA"/>
        </w:rPr>
      </w:pPr>
      <w:r w:rsidRPr="007E0BC8">
        <w:rPr>
          <w:b/>
          <w:bCs/>
          <w:sz w:val="20"/>
          <w:szCs w:val="20"/>
          <w:lang w:val="uk-UA"/>
        </w:rPr>
        <w:t>та використання кваліфікованого електронного підпису</w:t>
      </w:r>
    </w:p>
    <w:tbl>
      <w:tblPr>
        <w:tblW w:w="0" w:type="auto"/>
        <w:tblLook w:val="01E0" w:firstRow="1" w:lastRow="1" w:firstColumn="1" w:lastColumn="1" w:noHBand="0" w:noVBand="0"/>
      </w:tblPr>
      <w:tblGrid>
        <w:gridCol w:w="4374"/>
        <w:gridCol w:w="4981"/>
      </w:tblGrid>
      <w:tr w:rsidR="00304FAB" w:rsidRPr="007E0BC8" w:rsidTr="00177CF3">
        <w:trPr>
          <w:trHeight w:val="230"/>
        </w:trPr>
        <w:tc>
          <w:tcPr>
            <w:tcW w:w="5017" w:type="dxa"/>
          </w:tcPr>
          <w:p w:rsidR="00304FAB" w:rsidRPr="007E0BC8" w:rsidRDefault="00304FAB" w:rsidP="00304FAB">
            <w:pPr>
              <w:tabs>
                <w:tab w:val="left" w:pos="709"/>
              </w:tabs>
              <w:ind w:right="99" w:firstLine="567"/>
              <w:rPr>
                <w:sz w:val="20"/>
                <w:szCs w:val="20"/>
                <w:lang w:val="uk-UA"/>
              </w:rPr>
            </w:pPr>
            <w:r w:rsidRPr="007E0BC8">
              <w:rPr>
                <w:sz w:val="20"/>
                <w:szCs w:val="20"/>
                <w:lang w:val="uk-UA"/>
              </w:rPr>
              <w:t>м. Київ</w:t>
            </w:r>
          </w:p>
        </w:tc>
        <w:tc>
          <w:tcPr>
            <w:tcW w:w="5581" w:type="dxa"/>
          </w:tcPr>
          <w:p w:rsidR="00304FAB" w:rsidRPr="007E0BC8" w:rsidRDefault="00304FAB" w:rsidP="00304FAB">
            <w:pPr>
              <w:tabs>
                <w:tab w:val="left" w:pos="709"/>
              </w:tabs>
              <w:ind w:right="72" w:firstLine="567"/>
              <w:jc w:val="right"/>
              <w:rPr>
                <w:sz w:val="20"/>
                <w:szCs w:val="20"/>
                <w:lang w:val="uk-UA"/>
              </w:rPr>
            </w:pPr>
            <w:r w:rsidRPr="007E0BC8">
              <w:rPr>
                <w:sz w:val="20"/>
                <w:szCs w:val="20"/>
                <w:lang w:val="uk-UA"/>
              </w:rPr>
              <w:t xml:space="preserve">    «____» ____________20__  р.</w:t>
            </w:r>
          </w:p>
        </w:tc>
      </w:tr>
    </w:tbl>
    <w:p w:rsidR="00304FAB" w:rsidRPr="007E0BC8" w:rsidRDefault="00304FAB" w:rsidP="00304FAB">
      <w:pPr>
        <w:tabs>
          <w:tab w:val="left" w:pos="709"/>
        </w:tabs>
        <w:ind w:firstLine="567"/>
        <w:jc w:val="center"/>
        <w:rPr>
          <w:b/>
          <w:sz w:val="20"/>
          <w:szCs w:val="20"/>
          <w:lang w:val="uk-UA"/>
        </w:rPr>
      </w:pPr>
    </w:p>
    <w:p w:rsidR="00304FAB" w:rsidRPr="007E0BC8" w:rsidRDefault="00304FAB" w:rsidP="00304FAB">
      <w:pPr>
        <w:pStyle w:val="a4"/>
        <w:tabs>
          <w:tab w:val="left" w:pos="709"/>
        </w:tabs>
        <w:ind w:firstLine="567"/>
        <w:rPr>
          <w:b/>
          <w:i w:val="0"/>
          <w:snapToGrid w:val="0"/>
          <w:sz w:val="20"/>
          <w:szCs w:val="20"/>
          <w:lang w:val="uk-UA"/>
        </w:rPr>
      </w:pPr>
    </w:p>
    <w:p w:rsidR="00304FAB" w:rsidRPr="007E0BC8" w:rsidRDefault="00CB418A" w:rsidP="00304FAB">
      <w:pPr>
        <w:tabs>
          <w:tab w:val="left" w:pos="709"/>
        </w:tabs>
        <w:ind w:firstLine="567"/>
        <w:jc w:val="both"/>
        <w:rPr>
          <w:sz w:val="20"/>
          <w:szCs w:val="20"/>
          <w:lang w:val="uk-UA"/>
        </w:rPr>
      </w:pPr>
      <w:r w:rsidRPr="007E0BC8">
        <w:rPr>
          <w:b/>
          <w:snapToGrid w:val="0"/>
          <w:sz w:val="20"/>
          <w:szCs w:val="20"/>
          <w:lang w:val="uk-UA"/>
        </w:rPr>
        <w:t>ТОВ «Туристична Компанія «</w:t>
      </w:r>
      <w:proofErr w:type="spellStart"/>
      <w:r w:rsidRPr="007E0BC8">
        <w:rPr>
          <w:b/>
          <w:snapToGrid w:val="0"/>
          <w:sz w:val="20"/>
          <w:szCs w:val="20"/>
          <w:lang w:val="uk-UA"/>
        </w:rPr>
        <w:t>Анекс</w:t>
      </w:r>
      <w:proofErr w:type="spellEnd"/>
      <w:r w:rsidRPr="007E0BC8">
        <w:rPr>
          <w:b/>
          <w:snapToGrid w:val="0"/>
          <w:sz w:val="20"/>
          <w:szCs w:val="20"/>
          <w:lang w:val="uk-UA"/>
        </w:rPr>
        <w:t xml:space="preserve"> Тур»</w:t>
      </w:r>
      <w:r w:rsidR="00304FAB" w:rsidRPr="007E0BC8">
        <w:rPr>
          <w:b/>
          <w:snapToGrid w:val="0"/>
          <w:sz w:val="20"/>
          <w:szCs w:val="20"/>
          <w:lang w:val="uk-UA"/>
        </w:rPr>
        <w:t xml:space="preserve">, </w:t>
      </w:r>
      <w:r w:rsidR="00304FAB" w:rsidRPr="007E0BC8">
        <w:rPr>
          <w:snapToGrid w:val="0"/>
          <w:sz w:val="20"/>
          <w:szCs w:val="20"/>
          <w:lang w:val="uk-UA"/>
        </w:rPr>
        <w:t xml:space="preserve">в особі </w:t>
      </w:r>
      <w:r w:rsidR="00304FAB" w:rsidRPr="007E0BC8">
        <w:rPr>
          <w:b/>
          <w:snapToGrid w:val="0"/>
          <w:sz w:val="20"/>
          <w:szCs w:val="20"/>
          <w:lang w:val="uk-UA"/>
        </w:rPr>
        <w:t xml:space="preserve">Генерального Директора </w:t>
      </w:r>
      <w:proofErr w:type="spellStart"/>
      <w:r w:rsidR="008933B8" w:rsidRPr="007E0BC8">
        <w:rPr>
          <w:b/>
          <w:snapToGrid w:val="0"/>
          <w:sz w:val="20"/>
          <w:szCs w:val="20"/>
          <w:lang w:val="uk-UA"/>
        </w:rPr>
        <w:t>Адигюзель</w:t>
      </w:r>
      <w:proofErr w:type="spellEnd"/>
      <w:r w:rsidR="008933B8" w:rsidRPr="007E0BC8">
        <w:rPr>
          <w:b/>
          <w:snapToGrid w:val="0"/>
          <w:sz w:val="20"/>
          <w:szCs w:val="20"/>
          <w:lang w:val="uk-UA"/>
        </w:rPr>
        <w:t xml:space="preserve"> </w:t>
      </w:r>
      <w:proofErr w:type="spellStart"/>
      <w:r w:rsidR="008933B8" w:rsidRPr="007E0BC8">
        <w:rPr>
          <w:b/>
          <w:snapToGrid w:val="0"/>
          <w:sz w:val="20"/>
          <w:szCs w:val="20"/>
          <w:lang w:val="uk-UA"/>
        </w:rPr>
        <w:t>Ількера</w:t>
      </w:r>
      <w:proofErr w:type="spellEnd"/>
      <w:r w:rsidR="00304FAB" w:rsidRPr="007E0BC8">
        <w:rPr>
          <w:snapToGrid w:val="0"/>
          <w:sz w:val="20"/>
          <w:szCs w:val="20"/>
          <w:lang w:val="uk-UA"/>
        </w:rPr>
        <w:t>, як</w:t>
      </w:r>
      <w:r w:rsidR="00C1300B" w:rsidRPr="007E0BC8">
        <w:rPr>
          <w:snapToGrid w:val="0"/>
          <w:sz w:val="20"/>
          <w:szCs w:val="20"/>
          <w:lang w:val="uk-UA"/>
        </w:rPr>
        <w:t>ий</w:t>
      </w:r>
      <w:r w:rsidR="00304FAB" w:rsidRPr="007E0BC8">
        <w:rPr>
          <w:snapToGrid w:val="0"/>
          <w:sz w:val="20"/>
          <w:szCs w:val="20"/>
          <w:lang w:val="uk-UA"/>
        </w:rPr>
        <w:t xml:space="preserve"> діє на підставі Статуту, з однієї сторони, в подальшому “Туроператор” та</w:t>
      </w:r>
      <w:r w:rsidR="00304FAB" w:rsidRPr="007E0BC8">
        <w:rPr>
          <w:b/>
          <w:snapToGrid w:val="0"/>
          <w:sz w:val="20"/>
          <w:szCs w:val="20"/>
          <w:lang w:val="uk-UA"/>
        </w:rPr>
        <w:t xml:space="preserve"> ________________________________________________, в особі ____________________________________, </w:t>
      </w:r>
      <w:r w:rsidR="00304FAB" w:rsidRPr="007E0BC8">
        <w:rPr>
          <w:snapToGrid w:val="0"/>
          <w:sz w:val="20"/>
          <w:szCs w:val="20"/>
          <w:lang w:val="uk-UA"/>
        </w:rPr>
        <w:t>який(а) діє на підставі __________, в подальшому “Турагент”</w:t>
      </w:r>
      <w:r w:rsidR="00304FAB" w:rsidRPr="007E0BC8">
        <w:rPr>
          <w:sz w:val="20"/>
          <w:lang w:val="uk-UA"/>
        </w:rPr>
        <w:t xml:space="preserve">, з іншої сторони, </w:t>
      </w:r>
      <w:r w:rsidR="00304FAB" w:rsidRPr="007E0BC8">
        <w:rPr>
          <w:sz w:val="20"/>
          <w:szCs w:val="20"/>
          <w:lang w:val="uk-UA"/>
        </w:rPr>
        <w:t>далі разом іменуються «Сторони», а кожен окремо – «Сторона»,</w:t>
      </w:r>
    </w:p>
    <w:p w:rsidR="00304FAB" w:rsidRPr="007E0BC8" w:rsidRDefault="00304FAB" w:rsidP="002D2C5C">
      <w:pPr>
        <w:tabs>
          <w:tab w:val="left" w:pos="709"/>
          <w:tab w:val="left" w:pos="851"/>
        </w:tabs>
        <w:ind w:firstLine="567"/>
        <w:jc w:val="both"/>
        <w:rPr>
          <w:i/>
          <w:sz w:val="20"/>
          <w:szCs w:val="20"/>
          <w:lang w:val="uk-UA"/>
        </w:rPr>
      </w:pPr>
      <w:r w:rsidRPr="007E0BC8">
        <w:rPr>
          <w:sz w:val="20"/>
          <w:szCs w:val="20"/>
          <w:lang w:val="uk-UA"/>
        </w:rPr>
        <w:t xml:space="preserve"> враховуючи наміри Сторін запровадити електронний документообіг під час своїх господарських взаємовідносин та  підписання електронних документів  кваліфікованими електронними підписами (КЕП) уповноважених представників Сторін, а також - встановити умови щодо надання чинності електронним документам та обміну останніми, уклали це Доповнення про визнання електронних документів та використання кваліфікованого електронного підпису </w:t>
      </w:r>
      <w:r w:rsidRPr="007E0BC8">
        <w:rPr>
          <w:bCs/>
          <w:sz w:val="20"/>
          <w:szCs w:val="20"/>
          <w:lang w:val="uk-UA"/>
        </w:rPr>
        <w:t xml:space="preserve">№ 1 </w:t>
      </w:r>
      <w:r w:rsidRPr="007E0BC8">
        <w:rPr>
          <w:sz w:val="20"/>
          <w:szCs w:val="20"/>
          <w:lang w:val="uk-UA"/>
        </w:rPr>
        <w:t>(надалі –  Доповнення ) про наступне:</w:t>
      </w:r>
    </w:p>
    <w:p w:rsidR="00304FAB" w:rsidRPr="007E0BC8" w:rsidRDefault="00304FAB" w:rsidP="002D2C5C">
      <w:pPr>
        <w:pStyle w:val="a5"/>
        <w:numPr>
          <w:ilvl w:val="0"/>
          <w:numId w:val="1"/>
        </w:numPr>
        <w:tabs>
          <w:tab w:val="left" w:pos="709"/>
          <w:tab w:val="left" w:pos="851"/>
        </w:tabs>
        <w:ind w:left="22" w:firstLine="567"/>
        <w:jc w:val="both"/>
        <w:rPr>
          <w:color w:val="000000"/>
          <w:sz w:val="20"/>
          <w:szCs w:val="20"/>
          <w:lang w:val="uk-UA"/>
        </w:rPr>
      </w:pPr>
      <w:r w:rsidRPr="007E0BC8">
        <w:rPr>
          <w:color w:val="000000"/>
          <w:sz w:val="20"/>
          <w:szCs w:val="20"/>
          <w:lang w:val="uk-UA"/>
        </w:rPr>
        <w:t xml:space="preserve">Предметом цього </w:t>
      </w:r>
      <w:r w:rsidRPr="007E0BC8">
        <w:rPr>
          <w:sz w:val="20"/>
          <w:szCs w:val="20"/>
          <w:lang w:val="uk-UA"/>
        </w:rPr>
        <w:t>Доповнення</w:t>
      </w:r>
      <w:r w:rsidRPr="007E0BC8">
        <w:rPr>
          <w:color w:val="000000"/>
          <w:sz w:val="20"/>
          <w:szCs w:val="20"/>
          <w:lang w:val="uk-UA"/>
        </w:rPr>
        <w:t xml:space="preserve"> є визнання Сторонами електронних документів та використання кваліфікованого електронного підпису (КЕП) при їх підписані, за умови технічної та організаційної готовності Сторін до впровадження електронного документообігу. </w:t>
      </w:r>
    </w:p>
    <w:p w:rsidR="00304FAB" w:rsidRPr="007E0BC8" w:rsidRDefault="00304FAB" w:rsidP="002D2C5C">
      <w:pPr>
        <w:pStyle w:val="a5"/>
        <w:widowControl w:val="0"/>
        <w:numPr>
          <w:ilvl w:val="0"/>
          <w:numId w:val="1"/>
        </w:numPr>
        <w:tabs>
          <w:tab w:val="left" w:pos="486"/>
          <w:tab w:val="left" w:pos="709"/>
          <w:tab w:val="left" w:pos="851"/>
        </w:tabs>
        <w:spacing w:after="120"/>
        <w:ind w:left="28" w:firstLine="567"/>
        <w:jc w:val="both"/>
        <w:rPr>
          <w:color w:val="000000"/>
          <w:sz w:val="20"/>
          <w:szCs w:val="20"/>
          <w:lang w:val="uk-UA"/>
        </w:rPr>
      </w:pPr>
      <w:r w:rsidRPr="007E0BC8">
        <w:rPr>
          <w:color w:val="000000"/>
          <w:sz w:val="20"/>
          <w:szCs w:val="20"/>
          <w:lang w:val="uk-UA"/>
        </w:rPr>
        <w:t xml:space="preserve">Сторони зобов’язуються визнавати кваліфікований електронний підпис (надалі - КЕП) як такий, що надає юридичної сили електронним документам, сформованим та направленим з використанням КЕП, за умови відповідності такого підпису вимогам зазначеним в </w:t>
      </w:r>
      <w:r w:rsidRPr="007E0BC8">
        <w:rPr>
          <w:sz w:val="20"/>
          <w:szCs w:val="20"/>
          <w:lang w:val="uk-UA"/>
        </w:rPr>
        <w:t xml:space="preserve"> Доповненні</w:t>
      </w:r>
      <w:r w:rsidRPr="007E0BC8">
        <w:rPr>
          <w:color w:val="000000"/>
          <w:sz w:val="20"/>
          <w:szCs w:val="20"/>
          <w:lang w:val="uk-UA"/>
        </w:rPr>
        <w:t>. Та як наслідок, Сторони погоджуються з тим, що електронні документи підписані КЕП та належним чином направлені відповідній Стороні, мають повну юридичну силу в розумінні чинного законодавства та прирівнюються до оригінальних примірників документів на паперових носіях, що власноручно підписані уповноваженими представниками Сторін.</w:t>
      </w:r>
    </w:p>
    <w:p w:rsidR="00304FAB" w:rsidRPr="007E0BC8" w:rsidRDefault="00304FAB" w:rsidP="002D2C5C">
      <w:pPr>
        <w:pStyle w:val="a5"/>
        <w:numPr>
          <w:ilvl w:val="0"/>
          <w:numId w:val="1"/>
        </w:numPr>
        <w:tabs>
          <w:tab w:val="left" w:pos="283"/>
          <w:tab w:val="left" w:pos="709"/>
          <w:tab w:val="left" w:pos="851"/>
        </w:tabs>
        <w:ind w:left="0" w:firstLine="567"/>
        <w:jc w:val="both"/>
        <w:rPr>
          <w:color w:val="000000"/>
          <w:sz w:val="20"/>
          <w:szCs w:val="20"/>
          <w:lang w:val="uk-UA"/>
        </w:rPr>
      </w:pPr>
      <w:r w:rsidRPr="007E0BC8">
        <w:rPr>
          <w:color w:val="000000"/>
          <w:sz w:val="20"/>
          <w:szCs w:val="20"/>
          <w:lang w:val="uk-UA"/>
        </w:rPr>
        <w:t xml:space="preserve">Сторони погодили, що визнання електронних документів та їх підписання з використанням КЕП відповідно до цього </w:t>
      </w:r>
      <w:r w:rsidRPr="007E0BC8">
        <w:rPr>
          <w:sz w:val="20"/>
          <w:szCs w:val="20"/>
          <w:lang w:val="uk-UA"/>
        </w:rPr>
        <w:t xml:space="preserve"> Доповнення</w:t>
      </w:r>
      <w:r w:rsidRPr="007E0BC8">
        <w:rPr>
          <w:color w:val="000000"/>
          <w:sz w:val="20"/>
          <w:szCs w:val="20"/>
          <w:lang w:val="uk-UA"/>
        </w:rPr>
        <w:t xml:space="preserve"> не виключає можливості створення, підписання Сторонами та обмін між ними письмовими документами на паперових носіях протягом строку дії Договору.</w:t>
      </w:r>
    </w:p>
    <w:p w:rsidR="00304FAB" w:rsidRPr="007E0BC8" w:rsidRDefault="00304FAB" w:rsidP="00304FAB">
      <w:pPr>
        <w:pStyle w:val="a5"/>
        <w:widowControl w:val="0"/>
        <w:numPr>
          <w:ilvl w:val="0"/>
          <w:numId w:val="1"/>
        </w:numPr>
        <w:tabs>
          <w:tab w:val="left" w:pos="486"/>
          <w:tab w:val="left" w:pos="709"/>
          <w:tab w:val="left" w:pos="851"/>
        </w:tabs>
        <w:spacing w:after="120"/>
        <w:ind w:left="28" w:firstLine="567"/>
        <w:jc w:val="both"/>
        <w:rPr>
          <w:color w:val="000000"/>
          <w:sz w:val="20"/>
          <w:szCs w:val="20"/>
          <w:lang w:val="uk-UA"/>
        </w:rPr>
      </w:pPr>
      <w:r w:rsidRPr="007E0BC8">
        <w:rPr>
          <w:color w:val="000000"/>
          <w:sz w:val="20"/>
          <w:szCs w:val="20"/>
          <w:lang w:val="uk-UA"/>
        </w:rPr>
        <w:t xml:space="preserve">Визнання здійснюється отримувачем щодо кожного окремого електронного документа, наданого підписантом, в порядку передбаченому цим </w:t>
      </w:r>
      <w:r w:rsidRPr="007E0BC8">
        <w:rPr>
          <w:sz w:val="20"/>
          <w:szCs w:val="20"/>
          <w:lang w:val="uk-UA"/>
        </w:rPr>
        <w:t xml:space="preserve"> Доповнення</w:t>
      </w:r>
      <w:r w:rsidRPr="007E0BC8">
        <w:rPr>
          <w:color w:val="000000"/>
          <w:sz w:val="20"/>
          <w:szCs w:val="20"/>
          <w:lang w:val="uk-UA"/>
        </w:rPr>
        <w:t>м та відповідним алгоритмом технічних дій спеціалізованої електронної системи документообігу.</w:t>
      </w:r>
    </w:p>
    <w:p w:rsidR="00304FAB" w:rsidRPr="007E0BC8" w:rsidRDefault="00304FAB" w:rsidP="00304FAB">
      <w:pPr>
        <w:pStyle w:val="a5"/>
        <w:widowControl w:val="0"/>
        <w:numPr>
          <w:ilvl w:val="0"/>
          <w:numId w:val="1"/>
        </w:numPr>
        <w:tabs>
          <w:tab w:val="left" w:pos="486"/>
          <w:tab w:val="left" w:pos="709"/>
          <w:tab w:val="left" w:pos="851"/>
        </w:tabs>
        <w:spacing w:after="120"/>
        <w:ind w:left="28" w:firstLine="567"/>
        <w:jc w:val="both"/>
        <w:rPr>
          <w:color w:val="000000"/>
          <w:sz w:val="20"/>
          <w:szCs w:val="20"/>
          <w:lang w:val="uk-UA"/>
        </w:rPr>
      </w:pPr>
      <w:r w:rsidRPr="007E0BC8">
        <w:rPr>
          <w:color w:val="000000"/>
          <w:sz w:val="20"/>
          <w:szCs w:val="20"/>
          <w:lang w:val="uk-UA"/>
        </w:rPr>
        <w:t>Сторони особливо обумовлюють, що печатки Сторін не є обов’язковими реквізитами електронного документа, та останній матиме юридичну силу як то оригінальний документ, що підписаний уповноваженими представниками Сторін власноручно, за умови накладення та визнання КЕП Сторін.</w:t>
      </w:r>
    </w:p>
    <w:p w:rsidR="00304FAB" w:rsidRPr="007E0BC8" w:rsidRDefault="00304FAB" w:rsidP="00304FAB">
      <w:pPr>
        <w:pStyle w:val="a5"/>
        <w:widowControl w:val="0"/>
        <w:numPr>
          <w:ilvl w:val="0"/>
          <w:numId w:val="1"/>
        </w:numPr>
        <w:tabs>
          <w:tab w:val="left" w:pos="486"/>
          <w:tab w:val="left" w:pos="709"/>
          <w:tab w:val="left" w:pos="851"/>
        </w:tabs>
        <w:spacing w:after="120"/>
        <w:ind w:left="28" w:firstLine="567"/>
        <w:jc w:val="both"/>
        <w:rPr>
          <w:color w:val="000000"/>
          <w:sz w:val="20"/>
          <w:szCs w:val="20"/>
          <w:lang w:val="uk-UA"/>
        </w:rPr>
      </w:pPr>
      <w:r w:rsidRPr="007E0BC8">
        <w:rPr>
          <w:color w:val="000000"/>
          <w:sz w:val="20"/>
          <w:szCs w:val="20"/>
          <w:lang w:val="uk-UA"/>
        </w:rPr>
        <w:t>Після надходження відповідній Стороні електронного документу, спеціальною автоматизованою системою проводиться його розшифрування, здійснюються перевірки КЕП, відповідності електронного документа узгодженого Сторонами формату, наявності в системі даних представника відповідної Сторони, в особі якого укладається електронний документ, а також відповідності вказаних даних до тих що містяться в Єдиному державному реєстрі юридичних осіб, фізичних осіб — підприємців та громадських формувань.</w:t>
      </w:r>
    </w:p>
    <w:p w:rsidR="00304FAB" w:rsidRPr="007E0BC8" w:rsidRDefault="00304FAB" w:rsidP="00304FAB">
      <w:pPr>
        <w:pStyle w:val="a5"/>
        <w:widowControl w:val="0"/>
        <w:numPr>
          <w:ilvl w:val="0"/>
          <w:numId w:val="1"/>
        </w:numPr>
        <w:tabs>
          <w:tab w:val="left" w:pos="486"/>
          <w:tab w:val="left" w:pos="709"/>
          <w:tab w:val="left" w:pos="851"/>
        </w:tabs>
        <w:spacing w:after="120"/>
        <w:ind w:left="28" w:firstLine="567"/>
        <w:jc w:val="both"/>
        <w:rPr>
          <w:color w:val="000000"/>
          <w:sz w:val="20"/>
          <w:szCs w:val="20"/>
          <w:lang w:val="uk-UA"/>
        </w:rPr>
      </w:pPr>
      <w:r w:rsidRPr="007E0BC8">
        <w:rPr>
          <w:color w:val="000000"/>
          <w:sz w:val="20"/>
          <w:szCs w:val="20"/>
          <w:lang w:val="uk-UA"/>
        </w:rPr>
        <w:t>Сторони дійшли згоди, що кожна Сторона самостійно визначає спосіб зберігання і пред’явлення електронних документів, повідомлень, іншої інформації в електронній формі, умови доступу до них, а також умови виготовлення та отримання паперових копій електронних документів.</w:t>
      </w:r>
    </w:p>
    <w:p w:rsidR="00304FAB" w:rsidRPr="007E0BC8" w:rsidRDefault="00304FAB" w:rsidP="00304FAB">
      <w:pPr>
        <w:pStyle w:val="a5"/>
        <w:widowControl w:val="0"/>
        <w:numPr>
          <w:ilvl w:val="0"/>
          <w:numId w:val="1"/>
        </w:numPr>
        <w:tabs>
          <w:tab w:val="left" w:pos="486"/>
          <w:tab w:val="left" w:pos="709"/>
          <w:tab w:val="left" w:pos="851"/>
        </w:tabs>
        <w:spacing w:after="120"/>
        <w:ind w:left="28" w:firstLine="567"/>
        <w:jc w:val="both"/>
        <w:rPr>
          <w:color w:val="000000"/>
          <w:sz w:val="20"/>
          <w:szCs w:val="20"/>
          <w:lang w:val="uk-UA"/>
        </w:rPr>
      </w:pPr>
      <w:r w:rsidRPr="007E0BC8">
        <w:rPr>
          <w:color w:val="000000"/>
          <w:sz w:val="20"/>
          <w:szCs w:val="20"/>
          <w:lang w:val="uk-UA"/>
        </w:rPr>
        <w:t xml:space="preserve">Сторони зобов’язуються періодично перевіряти вхідну кореспонденцію документообігу, використання якої було погоджено Сторонами. В розумінні даного пункту погодженням Сторонами електронної системи документообігу є відсутність письмових заперечень з боку Турагента, якому Туроператор направив інформаційне повідомлення про обрану електронну систему засобами електронної пошти або опублікував інформацію на офіційному сайті </w:t>
      </w:r>
      <w:hyperlink r:id="rId8" w:history="1">
        <w:r w:rsidRPr="007E0BC8">
          <w:rPr>
            <w:rStyle w:val="a7"/>
            <w:sz w:val="20"/>
            <w:szCs w:val="20"/>
            <w:lang w:val="uk-UA"/>
          </w:rPr>
          <w:t>www.anextour.com.ua</w:t>
        </w:r>
      </w:hyperlink>
      <w:r w:rsidRPr="007E0BC8">
        <w:rPr>
          <w:color w:val="000000"/>
          <w:sz w:val="20"/>
          <w:szCs w:val="20"/>
          <w:lang w:val="uk-UA"/>
        </w:rPr>
        <w:t>.</w:t>
      </w:r>
    </w:p>
    <w:p w:rsidR="00304FAB" w:rsidRPr="007E0BC8" w:rsidRDefault="00304FAB" w:rsidP="00304FAB">
      <w:pPr>
        <w:pStyle w:val="a5"/>
        <w:widowControl w:val="0"/>
        <w:numPr>
          <w:ilvl w:val="0"/>
          <w:numId w:val="1"/>
        </w:numPr>
        <w:tabs>
          <w:tab w:val="left" w:pos="486"/>
          <w:tab w:val="left" w:pos="709"/>
          <w:tab w:val="left" w:pos="851"/>
        </w:tabs>
        <w:spacing w:after="120"/>
        <w:ind w:left="28" w:firstLine="567"/>
        <w:jc w:val="both"/>
        <w:rPr>
          <w:color w:val="000000"/>
          <w:sz w:val="20"/>
          <w:szCs w:val="20"/>
          <w:lang w:val="uk-UA"/>
        </w:rPr>
      </w:pPr>
      <w:r w:rsidRPr="007E0BC8">
        <w:rPr>
          <w:color w:val="000000"/>
          <w:sz w:val="20"/>
          <w:szCs w:val="20"/>
          <w:lang w:val="uk-UA"/>
        </w:rPr>
        <w:t>Обмін електронними документами між Сторонами здійснюється з дотриманням вимог чинного законодавства, зокрема, в сфері електронного документообігу та електронної комерції в Україні.</w:t>
      </w:r>
    </w:p>
    <w:p w:rsidR="00304FAB" w:rsidRPr="007E0BC8" w:rsidRDefault="002D2C5C" w:rsidP="00304FAB">
      <w:pPr>
        <w:pStyle w:val="a5"/>
        <w:widowControl w:val="0"/>
        <w:numPr>
          <w:ilvl w:val="0"/>
          <w:numId w:val="1"/>
        </w:numPr>
        <w:tabs>
          <w:tab w:val="left" w:pos="486"/>
          <w:tab w:val="left" w:pos="709"/>
          <w:tab w:val="left" w:pos="851"/>
        </w:tabs>
        <w:spacing w:after="120"/>
        <w:ind w:left="28" w:firstLine="567"/>
        <w:jc w:val="both"/>
        <w:rPr>
          <w:color w:val="000000"/>
          <w:sz w:val="20"/>
          <w:szCs w:val="20"/>
          <w:lang w:val="uk-UA"/>
        </w:rPr>
      </w:pPr>
      <w:r w:rsidRPr="007E0BC8">
        <w:rPr>
          <w:color w:val="000000"/>
          <w:sz w:val="20"/>
          <w:szCs w:val="20"/>
          <w:lang w:val="uk-UA"/>
        </w:rPr>
        <w:t xml:space="preserve"> </w:t>
      </w:r>
      <w:r w:rsidR="00304FAB" w:rsidRPr="007E0BC8">
        <w:rPr>
          <w:color w:val="000000"/>
          <w:sz w:val="20"/>
          <w:szCs w:val="20"/>
          <w:lang w:val="uk-UA"/>
        </w:rPr>
        <w:t>При виконанні умов, передбачених цією Угодою, кожна Сторона може виступати як відправником (автором), так і отримувачем (адресатом) електронних документів, з використанням при цьому обома Сторонами однакового сервісу електронного документообігу.</w:t>
      </w:r>
    </w:p>
    <w:p w:rsidR="00304FAB" w:rsidRPr="007E0BC8" w:rsidRDefault="002D2C5C" w:rsidP="00304FAB">
      <w:pPr>
        <w:pStyle w:val="a5"/>
        <w:widowControl w:val="0"/>
        <w:numPr>
          <w:ilvl w:val="0"/>
          <w:numId w:val="1"/>
        </w:numPr>
        <w:tabs>
          <w:tab w:val="left" w:pos="486"/>
          <w:tab w:val="left" w:pos="709"/>
          <w:tab w:val="left" w:pos="851"/>
        </w:tabs>
        <w:spacing w:after="120"/>
        <w:ind w:left="28" w:firstLine="567"/>
        <w:jc w:val="both"/>
        <w:rPr>
          <w:color w:val="000000"/>
          <w:sz w:val="20"/>
          <w:szCs w:val="20"/>
          <w:lang w:val="uk-UA"/>
        </w:rPr>
      </w:pPr>
      <w:r w:rsidRPr="007E0BC8">
        <w:rPr>
          <w:color w:val="000000"/>
          <w:sz w:val="20"/>
          <w:szCs w:val="20"/>
          <w:lang w:val="uk-UA"/>
        </w:rPr>
        <w:t xml:space="preserve"> </w:t>
      </w:r>
      <w:r w:rsidR="00304FAB" w:rsidRPr="007E0BC8">
        <w:rPr>
          <w:color w:val="000000"/>
          <w:sz w:val="20"/>
          <w:szCs w:val="20"/>
          <w:lang w:val="uk-UA"/>
        </w:rPr>
        <w:t>КЕП вважається таким, що відповідає сертифікату ключа, якщо особистий ключ підписанта, використаний при формуванні КЕП, відповідає ключу КЕП, зазначеному у відповідному сертифікаті.</w:t>
      </w:r>
    </w:p>
    <w:p w:rsidR="00304FAB" w:rsidRPr="007E0BC8" w:rsidRDefault="002D2C5C" w:rsidP="00304FAB">
      <w:pPr>
        <w:pStyle w:val="a5"/>
        <w:widowControl w:val="0"/>
        <w:numPr>
          <w:ilvl w:val="0"/>
          <w:numId w:val="1"/>
        </w:numPr>
        <w:tabs>
          <w:tab w:val="left" w:pos="486"/>
          <w:tab w:val="left" w:pos="709"/>
          <w:tab w:val="left" w:pos="851"/>
        </w:tabs>
        <w:spacing w:after="120"/>
        <w:ind w:left="28" w:firstLine="567"/>
        <w:jc w:val="both"/>
        <w:rPr>
          <w:color w:val="000000"/>
          <w:sz w:val="20"/>
          <w:szCs w:val="20"/>
          <w:lang w:val="uk-UA"/>
        </w:rPr>
      </w:pPr>
      <w:r w:rsidRPr="007E0BC8">
        <w:rPr>
          <w:color w:val="000000"/>
          <w:sz w:val="20"/>
          <w:szCs w:val="20"/>
          <w:lang w:val="uk-UA"/>
        </w:rPr>
        <w:t xml:space="preserve"> </w:t>
      </w:r>
      <w:r w:rsidR="00304FAB" w:rsidRPr="007E0BC8">
        <w:rPr>
          <w:color w:val="000000"/>
          <w:sz w:val="20"/>
          <w:szCs w:val="20"/>
          <w:lang w:val="uk-UA"/>
        </w:rPr>
        <w:t>Сторони гарантують, що самостійно вживатимуть всіх заходів забезпечення схоронності та захисту особистих ключів від незаконного заволодіння чи пошкодження.</w:t>
      </w:r>
    </w:p>
    <w:p w:rsidR="00304FAB" w:rsidRPr="007E0BC8" w:rsidRDefault="002D2C5C" w:rsidP="00304FAB">
      <w:pPr>
        <w:pStyle w:val="a5"/>
        <w:widowControl w:val="0"/>
        <w:numPr>
          <w:ilvl w:val="0"/>
          <w:numId w:val="1"/>
        </w:numPr>
        <w:tabs>
          <w:tab w:val="left" w:pos="486"/>
          <w:tab w:val="left" w:pos="709"/>
          <w:tab w:val="left" w:pos="851"/>
        </w:tabs>
        <w:spacing w:after="120"/>
        <w:ind w:left="28" w:firstLine="567"/>
        <w:jc w:val="both"/>
        <w:rPr>
          <w:color w:val="000000"/>
          <w:sz w:val="20"/>
          <w:szCs w:val="20"/>
          <w:lang w:val="uk-UA"/>
        </w:rPr>
      </w:pPr>
      <w:r w:rsidRPr="007E0BC8">
        <w:rPr>
          <w:color w:val="000000"/>
          <w:sz w:val="20"/>
          <w:szCs w:val="20"/>
          <w:lang w:val="uk-UA"/>
        </w:rPr>
        <w:t xml:space="preserve"> </w:t>
      </w:r>
      <w:r w:rsidR="00304FAB" w:rsidRPr="007E0BC8">
        <w:rPr>
          <w:color w:val="000000"/>
          <w:sz w:val="20"/>
          <w:szCs w:val="20"/>
          <w:lang w:val="uk-UA"/>
        </w:rPr>
        <w:t>У випадку компрометації особистого ключа підписанта, його втрати та/або викрадення, скасування чи блокування його сертифіката ключа, відповідна Сторона  зобов’язана невідкладно (протягом 1 робочого дня з моменту виявлення такого факту), повідомити про це іншу Сторону, а також відповідний центр сертифікації електронних ключів у встановленому законодавством порядку.</w:t>
      </w:r>
    </w:p>
    <w:p w:rsidR="00304FAB" w:rsidRPr="007E0BC8" w:rsidRDefault="002D2C5C" w:rsidP="00304FAB">
      <w:pPr>
        <w:pStyle w:val="a5"/>
        <w:widowControl w:val="0"/>
        <w:numPr>
          <w:ilvl w:val="0"/>
          <w:numId w:val="1"/>
        </w:numPr>
        <w:tabs>
          <w:tab w:val="left" w:pos="486"/>
          <w:tab w:val="left" w:pos="709"/>
          <w:tab w:val="left" w:pos="851"/>
        </w:tabs>
        <w:spacing w:after="120"/>
        <w:ind w:left="28" w:firstLine="567"/>
        <w:jc w:val="both"/>
        <w:rPr>
          <w:color w:val="000000"/>
          <w:sz w:val="20"/>
          <w:szCs w:val="20"/>
          <w:lang w:val="uk-UA"/>
        </w:rPr>
      </w:pPr>
      <w:r w:rsidRPr="007E0BC8">
        <w:rPr>
          <w:color w:val="000000"/>
          <w:sz w:val="20"/>
          <w:szCs w:val="20"/>
          <w:lang w:val="uk-UA"/>
        </w:rPr>
        <w:t xml:space="preserve"> </w:t>
      </w:r>
      <w:r w:rsidR="00304FAB" w:rsidRPr="007E0BC8">
        <w:rPr>
          <w:color w:val="000000"/>
          <w:sz w:val="20"/>
          <w:szCs w:val="20"/>
          <w:lang w:val="uk-UA"/>
        </w:rPr>
        <w:t>У разі необхідності підтвердження чинності КЕП та належності особистого ключа, використаного підписантом для КЕП, отримувач звертається до відповідного центру сертифікації ключів.</w:t>
      </w:r>
    </w:p>
    <w:p w:rsidR="00304FAB" w:rsidRPr="007E0BC8" w:rsidRDefault="002D2C5C" w:rsidP="00304FAB">
      <w:pPr>
        <w:pStyle w:val="a5"/>
        <w:widowControl w:val="0"/>
        <w:numPr>
          <w:ilvl w:val="0"/>
          <w:numId w:val="1"/>
        </w:numPr>
        <w:tabs>
          <w:tab w:val="left" w:pos="486"/>
          <w:tab w:val="left" w:pos="709"/>
          <w:tab w:val="left" w:pos="851"/>
        </w:tabs>
        <w:spacing w:after="120"/>
        <w:ind w:left="28" w:firstLine="567"/>
        <w:jc w:val="both"/>
        <w:rPr>
          <w:color w:val="000000"/>
          <w:sz w:val="20"/>
          <w:szCs w:val="20"/>
          <w:lang w:val="uk-UA"/>
        </w:rPr>
      </w:pPr>
      <w:r w:rsidRPr="007E0BC8">
        <w:rPr>
          <w:color w:val="000000"/>
          <w:sz w:val="20"/>
          <w:szCs w:val="20"/>
          <w:lang w:val="uk-UA"/>
        </w:rPr>
        <w:lastRenderedPageBreak/>
        <w:t xml:space="preserve"> </w:t>
      </w:r>
      <w:r w:rsidR="00304FAB" w:rsidRPr="007E0BC8">
        <w:rPr>
          <w:color w:val="000000"/>
          <w:sz w:val="20"/>
          <w:szCs w:val="20"/>
          <w:lang w:val="uk-UA"/>
        </w:rPr>
        <w:t>Сторони підтверджують, що підписанти належним чином уповноважені на підписання електронних документів за допомогою КЕП та на вимогу іншої Сторони зобов’язані негайно передати копії документів, які підтверджують такі повноваження. Дане Доповнення визначає основні організаційно-правові засади електронного документообігу між Сторонами та визнання Сторонами юридичної сили за електронними документами, н</w:t>
      </w:r>
      <w:r w:rsidRPr="007E0BC8">
        <w:rPr>
          <w:color w:val="000000"/>
          <w:sz w:val="20"/>
          <w:szCs w:val="20"/>
          <w:lang w:val="uk-UA"/>
        </w:rPr>
        <w:t xml:space="preserve">аправленими у відповідності до </w:t>
      </w:r>
      <w:r w:rsidR="00304FAB" w:rsidRPr="007E0BC8">
        <w:rPr>
          <w:color w:val="000000"/>
          <w:sz w:val="20"/>
          <w:szCs w:val="20"/>
          <w:lang w:val="uk-UA"/>
        </w:rPr>
        <w:t>Доповнення та законодавства. Всі інші питання, в тому числі організаційні та технічні особливості здійснення електронного документообігу, Сторони вправі узгоджувати додатково.</w:t>
      </w:r>
    </w:p>
    <w:p w:rsidR="00304FAB" w:rsidRPr="007E0BC8" w:rsidRDefault="002D2C5C" w:rsidP="00304FAB">
      <w:pPr>
        <w:pStyle w:val="a5"/>
        <w:widowControl w:val="0"/>
        <w:numPr>
          <w:ilvl w:val="0"/>
          <w:numId w:val="1"/>
        </w:numPr>
        <w:tabs>
          <w:tab w:val="left" w:pos="486"/>
          <w:tab w:val="left" w:pos="709"/>
          <w:tab w:val="left" w:pos="851"/>
        </w:tabs>
        <w:spacing w:after="120"/>
        <w:ind w:left="28" w:firstLine="567"/>
        <w:jc w:val="both"/>
        <w:rPr>
          <w:color w:val="000000"/>
          <w:sz w:val="20"/>
          <w:szCs w:val="20"/>
          <w:lang w:val="uk-UA"/>
        </w:rPr>
      </w:pPr>
      <w:r w:rsidRPr="007E0BC8">
        <w:rPr>
          <w:color w:val="000000"/>
          <w:sz w:val="20"/>
          <w:szCs w:val="20"/>
          <w:lang w:val="uk-UA"/>
        </w:rPr>
        <w:t xml:space="preserve"> </w:t>
      </w:r>
      <w:r w:rsidR="00304FAB" w:rsidRPr="007E0BC8">
        <w:rPr>
          <w:color w:val="000000"/>
          <w:sz w:val="20"/>
          <w:szCs w:val="20"/>
          <w:lang w:val="uk-UA"/>
        </w:rPr>
        <w:t>Електронний документ вважається укл</w:t>
      </w:r>
      <w:r w:rsidR="007E0BC8" w:rsidRPr="007E0BC8">
        <w:rPr>
          <w:color w:val="000000"/>
          <w:sz w:val="20"/>
          <w:szCs w:val="20"/>
          <w:lang w:val="uk-UA"/>
        </w:rPr>
        <w:t>аденим Сторонами та підписаним у</w:t>
      </w:r>
      <w:r w:rsidR="00304FAB" w:rsidRPr="007E0BC8">
        <w:rPr>
          <w:color w:val="000000"/>
          <w:sz w:val="20"/>
          <w:szCs w:val="20"/>
          <w:lang w:val="uk-UA"/>
        </w:rPr>
        <w:t>сіма необхідними повноважними підписантами з обох Сторін у дату, зазначену в тексті такого електронного документа</w:t>
      </w:r>
      <w:r w:rsidRPr="007E0BC8">
        <w:rPr>
          <w:color w:val="000000"/>
          <w:sz w:val="20"/>
          <w:szCs w:val="20"/>
          <w:lang w:val="uk-UA"/>
        </w:rPr>
        <w:t xml:space="preserve"> або зазначену Туроператором в коментарях до нього,</w:t>
      </w:r>
      <w:r w:rsidR="00304FAB" w:rsidRPr="007E0BC8">
        <w:rPr>
          <w:color w:val="000000"/>
          <w:sz w:val="20"/>
          <w:szCs w:val="20"/>
          <w:lang w:val="uk-UA"/>
        </w:rPr>
        <w:t xml:space="preserve"> як дата його складання</w:t>
      </w:r>
      <w:r w:rsidR="007E0BC8" w:rsidRPr="007E0BC8">
        <w:rPr>
          <w:color w:val="000000"/>
          <w:sz w:val="20"/>
          <w:szCs w:val="20"/>
          <w:lang w:val="uk-UA"/>
        </w:rPr>
        <w:t>.</w:t>
      </w:r>
      <w:r w:rsidR="00304FAB" w:rsidRPr="007E0BC8">
        <w:rPr>
          <w:color w:val="000000"/>
          <w:sz w:val="20"/>
          <w:szCs w:val="20"/>
          <w:lang w:val="uk-UA"/>
        </w:rPr>
        <w:t xml:space="preserve"> Ця умова застосовується, в т. ч., у разі, якщо фактична дата накладання КЕП будь-яким з підписантом будь-якої Сторони буде раніше або пізніше дати електронного документа, зазначеної в тексті останнього</w:t>
      </w:r>
      <w:r w:rsidRPr="007E0BC8">
        <w:rPr>
          <w:color w:val="000000"/>
          <w:sz w:val="20"/>
          <w:szCs w:val="20"/>
          <w:lang w:val="uk-UA"/>
        </w:rPr>
        <w:t xml:space="preserve"> або в коментарях</w:t>
      </w:r>
      <w:r w:rsidR="00304FAB" w:rsidRPr="007E0BC8">
        <w:rPr>
          <w:color w:val="000000"/>
          <w:sz w:val="20"/>
          <w:szCs w:val="20"/>
          <w:lang w:val="uk-UA"/>
        </w:rPr>
        <w:t>.</w:t>
      </w:r>
      <w:r w:rsidR="007E0BC8" w:rsidRPr="007E0BC8">
        <w:rPr>
          <w:color w:val="000000"/>
          <w:sz w:val="20"/>
          <w:szCs w:val="20"/>
          <w:lang w:val="uk-UA"/>
        </w:rPr>
        <w:t xml:space="preserve"> Електронний документ має </w:t>
      </w:r>
      <w:r w:rsidR="007E0BC8">
        <w:rPr>
          <w:color w:val="000000"/>
          <w:sz w:val="20"/>
          <w:szCs w:val="20"/>
          <w:lang w:val="uk-UA"/>
        </w:rPr>
        <w:t>номер Д</w:t>
      </w:r>
      <w:bookmarkStart w:id="0" w:name="_GoBack"/>
      <w:bookmarkEnd w:id="0"/>
      <w:r w:rsidR="007E0BC8" w:rsidRPr="007E0BC8">
        <w:rPr>
          <w:color w:val="000000"/>
          <w:sz w:val="20"/>
          <w:szCs w:val="20"/>
          <w:lang w:val="uk-UA"/>
        </w:rPr>
        <w:t>оговору, який Туроператор зазначає в коментарях.</w:t>
      </w:r>
    </w:p>
    <w:p w:rsidR="00304FAB" w:rsidRPr="007E0BC8" w:rsidRDefault="002D2C5C" w:rsidP="00304FAB">
      <w:pPr>
        <w:pStyle w:val="a5"/>
        <w:widowControl w:val="0"/>
        <w:numPr>
          <w:ilvl w:val="0"/>
          <w:numId w:val="1"/>
        </w:numPr>
        <w:tabs>
          <w:tab w:val="left" w:pos="486"/>
          <w:tab w:val="left" w:pos="709"/>
          <w:tab w:val="left" w:pos="851"/>
        </w:tabs>
        <w:spacing w:after="120"/>
        <w:ind w:left="28" w:firstLine="567"/>
        <w:jc w:val="both"/>
        <w:rPr>
          <w:color w:val="000000"/>
          <w:sz w:val="20"/>
          <w:szCs w:val="20"/>
          <w:lang w:val="uk-UA"/>
        </w:rPr>
      </w:pPr>
      <w:r w:rsidRPr="007E0BC8">
        <w:rPr>
          <w:color w:val="000000"/>
          <w:sz w:val="20"/>
          <w:szCs w:val="20"/>
          <w:lang w:val="uk-UA"/>
        </w:rPr>
        <w:t xml:space="preserve"> </w:t>
      </w:r>
      <w:r w:rsidR="00304FAB" w:rsidRPr="007E0BC8">
        <w:rPr>
          <w:color w:val="000000"/>
          <w:sz w:val="20"/>
          <w:szCs w:val="20"/>
          <w:lang w:val="uk-UA"/>
        </w:rPr>
        <w:t>У разі, якщо КЕП останнього необхідного підписанта будь-якої Сторони буде накладено пізніше дати, зазначеної в електронному документі</w:t>
      </w:r>
      <w:r w:rsidRPr="007E0BC8">
        <w:rPr>
          <w:color w:val="000000"/>
          <w:sz w:val="20"/>
          <w:szCs w:val="20"/>
          <w:lang w:val="uk-UA"/>
        </w:rPr>
        <w:t xml:space="preserve"> або зазначеної Туроператором в коментарях до нього, </w:t>
      </w:r>
      <w:r w:rsidR="00304FAB" w:rsidRPr="007E0BC8">
        <w:rPr>
          <w:color w:val="000000"/>
          <w:sz w:val="20"/>
          <w:szCs w:val="20"/>
          <w:lang w:val="uk-UA"/>
        </w:rPr>
        <w:t>як дата його складання, умови електронного документа будуть застосовуватися, у всякому разі, до правовідносин Сторін, що виникли, починаючи з дати, зазначеної у тексті такого електронного документа</w:t>
      </w:r>
      <w:r w:rsidRPr="007E0BC8">
        <w:rPr>
          <w:color w:val="000000"/>
          <w:sz w:val="20"/>
          <w:szCs w:val="20"/>
          <w:lang w:val="uk-UA"/>
        </w:rPr>
        <w:t xml:space="preserve"> або в коментарях до нього,</w:t>
      </w:r>
      <w:r w:rsidR="00304FAB" w:rsidRPr="007E0BC8">
        <w:rPr>
          <w:color w:val="000000"/>
          <w:sz w:val="20"/>
          <w:szCs w:val="20"/>
          <w:lang w:val="uk-UA"/>
        </w:rPr>
        <w:t xml:space="preserve"> як дата його складання.</w:t>
      </w:r>
    </w:p>
    <w:p w:rsidR="00304FAB" w:rsidRPr="007E0BC8" w:rsidRDefault="002D2C5C" w:rsidP="00304FAB">
      <w:pPr>
        <w:pStyle w:val="a5"/>
        <w:widowControl w:val="0"/>
        <w:numPr>
          <w:ilvl w:val="0"/>
          <w:numId w:val="1"/>
        </w:numPr>
        <w:tabs>
          <w:tab w:val="left" w:pos="486"/>
          <w:tab w:val="left" w:pos="709"/>
          <w:tab w:val="left" w:pos="851"/>
        </w:tabs>
        <w:spacing w:after="120"/>
        <w:ind w:left="28" w:firstLine="567"/>
        <w:jc w:val="both"/>
        <w:rPr>
          <w:color w:val="000000"/>
          <w:sz w:val="20"/>
          <w:szCs w:val="20"/>
          <w:lang w:val="uk-UA"/>
        </w:rPr>
      </w:pPr>
      <w:r w:rsidRPr="007E0BC8">
        <w:rPr>
          <w:color w:val="000000"/>
          <w:sz w:val="20"/>
          <w:szCs w:val="20"/>
          <w:lang w:val="uk-UA"/>
        </w:rPr>
        <w:t xml:space="preserve"> </w:t>
      </w:r>
      <w:r w:rsidR="00304FAB" w:rsidRPr="007E0BC8">
        <w:rPr>
          <w:color w:val="000000"/>
          <w:sz w:val="20"/>
          <w:szCs w:val="20"/>
          <w:lang w:val="uk-UA"/>
        </w:rPr>
        <w:t>У разі, якщо КЕП останнього необхідного підписанта будь-якої Сторони буде накладено раніше дати, зазначеної в тексті електронного документа</w:t>
      </w:r>
      <w:r w:rsidRPr="007E0BC8">
        <w:rPr>
          <w:color w:val="000000"/>
          <w:sz w:val="20"/>
          <w:szCs w:val="20"/>
          <w:lang w:val="uk-UA"/>
        </w:rPr>
        <w:t xml:space="preserve"> або зазначеної Туроператором в коментарях до нього,</w:t>
      </w:r>
      <w:r w:rsidR="00304FAB" w:rsidRPr="007E0BC8">
        <w:rPr>
          <w:color w:val="000000"/>
          <w:sz w:val="20"/>
          <w:szCs w:val="20"/>
          <w:lang w:val="uk-UA"/>
        </w:rPr>
        <w:t xml:space="preserve"> як дата його складання, умови електронного документа набудуть чинності та будуть застосовуватися, у всякому разі, до правовідносин Сторін, що виникнуть починаючи з дати, зазначеної у тексті такого електронного документа </w:t>
      </w:r>
      <w:r w:rsidRPr="007E0BC8">
        <w:rPr>
          <w:color w:val="000000"/>
          <w:sz w:val="20"/>
          <w:szCs w:val="20"/>
          <w:lang w:val="uk-UA"/>
        </w:rPr>
        <w:t xml:space="preserve">або в коментарях до нього, </w:t>
      </w:r>
      <w:r w:rsidR="00304FAB" w:rsidRPr="007E0BC8">
        <w:rPr>
          <w:color w:val="000000"/>
          <w:sz w:val="20"/>
          <w:szCs w:val="20"/>
          <w:lang w:val="uk-UA"/>
        </w:rPr>
        <w:t>як дата його складання.</w:t>
      </w:r>
    </w:p>
    <w:p w:rsidR="00304FAB" w:rsidRPr="007E0BC8" w:rsidRDefault="002D2C5C" w:rsidP="00304FAB">
      <w:pPr>
        <w:pStyle w:val="a5"/>
        <w:widowControl w:val="0"/>
        <w:numPr>
          <w:ilvl w:val="0"/>
          <w:numId w:val="1"/>
        </w:numPr>
        <w:tabs>
          <w:tab w:val="left" w:pos="486"/>
          <w:tab w:val="left" w:pos="709"/>
          <w:tab w:val="left" w:pos="851"/>
        </w:tabs>
        <w:spacing w:after="120"/>
        <w:ind w:left="28" w:firstLine="567"/>
        <w:jc w:val="both"/>
        <w:rPr>
          <w:color w:val="000000"/>
          <w:sz w:val="20"/>
          <w:szCs w:val="20"/>
          <w:lang w:val="uk-UA"/>
        </w:rPr>
      </w:pPr>
      <w:r w:rsidRPr="007E0BC8">
        <w:rPr>
          <w:color w:val="000000"/>
          <w:sz w:val="20"/>
          <w:szCs w:val="20"/>
          <w:lang w:val="uk-UA"/>
        </w:rPr>
        <w:t xml:space="preserve"> </w:t>
      </w:r>
      <w:r w:rsidR="00304FAB" w:rsidRPr="007E0BC8">
        <w:rPr>
          <w:color w:val="000000"/>
          <w:sz w:val="20"/>
          <w:szCs w:val="20"/>
          <w:lang w:val="uk-UA"/>
        </w:rPr>
        <w:t>При вирішенні всіх інших питань, пов’язаних з електронним документообігом, які не врегульовані цім Доповненням, Сторони керуються положеннями чинного законодавства.</w:t>
      </w:r>
    </w:p>
    <w:p w:rsidR="00304FAB" w:rsidRPr="007E0BC8" w:rsidRDefault="002D2C5C" w:rsidP="00304FAB">
      <w:pPr>
        <w:pStyle w:val="a5"/>
        <w:widowControl w:val="0"/>
        <w:numPr>
          <w:ilvl w:val="0"/>
          <w:numId w:val="1"/>
        </w:numPr>
        <w:tabs>
          <w:tab w:val="left" w:pos="486"/>
          <w:tab w:val="left" w:pos="709"/>
          <w:tab w:val="left" w:pos="851"/>
        </w:tabs>
        <w:spacing w:after="120"/>
        <w:ind w:left="28" w:firstLine="567"/>
        <w:jc w:val="both"/>
        <w:rPr>
          <w:color w:val="000000"/>
          <w:sz w:val="20"/>
          <w:szCs w:val="20"/>
          <w:lang w:val="uk-UA"/>
        </w:rPr>
      </w:pPr>
      <w:r w:rsidRPr="007E0BC8">
        <w:rPr>
          <w:color w:val="000000"/>
          <w:sz w:val="20"/>
          <w:szCs w:val="20"/>
          <w:lang w:val="uk-UA"/>
        </w:rPr>
        <w:t xml:space="preserve"> </w:t>
      </w:r>
      <w:r w:rsidR="00304FAB" w:rsidRPr="007E0BC8">
        <w:rPr>
          <w:color w:val="000000"/>
          <w:sz w:val="20"/>
          <w:szCs w:val="20"/>
          <w:lang w:val="uk-UA"/>
        </w:rPr>
        <w:t xml:space="preserve">Це Доповнення вступає в силу з моменту його підписання  уповноваженими представниками Сторін та вважається укладеною на невизначений строк, та є невід’ємною частиною Договору. Сторони домовились, що згідно п.3 ст.631 Цивільного кодексу України, умови цього Доповнення застосовуються до відносин між Сторонами, які виникли до його укладання. </w:t>
      </w:r>
    </w:p>
    <w:p w:rsidR="00304FAB" w:rsidRPr="007E0BC8" w:rsidRDefault="002D2C5C" w:rsidP="00304FAB">
      <w:pPr>
        <w:pStyle w:val="a5"/>
        <w:widowControl w:val="0"/>
        <w:numPr>
          <w:ilvl w:val="0"/>
          <w:numId w:val="1"/>
        </w:numPr>
        <w:tabs>
          <w:tab w:val="left" w:pos="486"/>
          <w:tab w:val="left" w:pos="709"/>
          <w:tab w:val="left" w:pos="851"/>
        </w:tabs>
        <w:spacing w:after="120"/>
        <w:ind w:left="28" w:firstLine="567"/>
        <w:jc w:val="both"/>
        <w:rPr>
          <w:color w:val="000000"/>
          <w:sz w:val="20"/>
          <w:szCs w:val="20"/>
          <w:lang w:val="uk-UA"/>
        </w:rPr>
      </w:pPr>
      <w:r w:rsidRPr="007E0BC8">
        <w:rPr>
          <w:color w:val="000000"/>
          <w:sz w:val="20"/>
          <w:szCs w:val="20"/>
          <w:lang w:val="uk-UA"/>
        </w:rPr>
        <w:t xml:space="preserve"> </w:t>
      </w:r>
      <w:r w:rsidR="00304FAB" w:rsidRPr="007E0BC8">
        <w:rPr>
          <w:color w:val="000000"/>
          <w:sz w:val="20"/>
          <w:szCs w:val="20"/>
          <w:lang w:val="uk-UA"/>
        </w:rPr>
        <w:t>Припинення дії цього  Доповнення можливе за взаємною письмовою згодою Сторін (укладеній у паперовій або в електронній формі) або за волевиявленням однієї із Сторін, за умови повідомлення іншої Сторони не пізніше, ніж за 10 днів до дати такого запланованого припинення дії  Доповнення. Водночас, припинення дії цього  Доповнення ні в якому випадку не призведе до припинення чинності електронних документів, складених та підписаних в період дії цього  Доповнення</w:t>
      </w:r>
      <w:r w:rsidR="00304FAB" w:rsidRPr="007E0BC8">
        <w:rPr>
          <w:sz w:val="20"/>
          <w:szCs w:val="20"/>
          <w:lang w:val="uk-UA"/>
        </w:rPr>
        <w:t>.</w:t>
      </w:r>
    </w:p>
    <w:p w:rsidR="00304FAB" w:rsidRPr="007E0BC8" w:rsidRDefault="002D2C5C" w:rsidP="00304FAB">
      <w:pPr>
        <w:pStyle w:val="a5"/>
        <w:widowControl w:val="0"/>
        <w:numPr>
          <w:ilvl w:val="0"/>
          <w:numId w:val="1"/>
        </w:numPr>
        <w:tabs>
          <w:tab w:val="left" w:pos="486"/>
          <w:tab w:val="left" w:pos="709"/>
          <w:tab w:val="left" w:pos="851"/>
        </w:tabs>
        <w:spacing w:after="120"/>
        <w:ind w:left="28" w:firstLine="567"/>
        <w:jc w:val="both"/>
        <w:rPr>
          <w:color w:val="000000"/>
          <w:sz w:val="20"/>
          <w:szCs w:val="20"/>
          <w:lang w:val="uk-UA"/>
        </w:rPr>
      </w:pPr>
      <w:r w:rsidRPr="007E0BC8">
        <w:rPr>
          <w:color w:val="000000"/>
          <w:sz w:val="20"/>
          <w:szCs w:val="20"/>
          <w:lang w:val="uk-UA"/>
        </w:rPr>
        <w:t xml:space="preserve"> </w:t>
      </w:r>
      <w:r w:rsidR="00304FAB" w:rsidRPr="007E0BC8">
        <w:rPr>
          <w:color w:val="000000"/>
          <w:sz w:val="20"/>
          <w:szCs w:val="20"/>
          <w:lang w:val="uk-UA"/>
        </w:rPr>
        <w:t>Це Доповнення складено в двох автентичних примірниках українською мовою, які мають однакову юридичну силу, -  по одному для кожної із Сторін.</w:t>
      </w:r>
    </w:p>
    <w:p w:rsidR="00304FAB" w:rsidRPr="007E0BC8" w:rsidRDefault="00304FAB" w:rsidP="00304FAB">
      <w:pPr>
        <w:pStyle w:val="a8"/>
        <w:tabs>
          <w:tab w:val="left" w:pos="709"/>
          <w:tab w:val="left" w:pos="5620"/>
        </w:tabs>
        <w:ind w:firstLine="567"/>
        <w:jc w:val="center"/>
        <w:rPr>
          <w:b/>
          <w:bCs/>
          <w:sz w:val="20"/>
          <w:lang w:val="uk-UA"/>
        </w:rPr>
      </w:pPr>
      <w:r w:rsidRPr="007E0BC8">
        <w:rPr>
          <w:b/>
          <w:bCs/>
          <w:sz w:val="20"/>
          <w:lang w:val="uk-UA"/>
        </w:rPr>
        <w:t>Підписи Сторін</w:t>
      </w:r>
    </w:p>
    <w:tbl>
      <w:tblPr>
        <w:tblW w:w="0" w:type="auto"/>
        <w:tblInd w:w="105" w:type="dxa"/>
        <w:tblCellMar>
          <w:left w:w="105" w:type="dxa"/>
          <w:right w:w="105" w:type="dxa"/>
        </w:tblCellMar>
        <w:tblLook w:val="0000" w:firstRow="0" w:lastRow="0" w:firstColumn="0" w:lastColumn="0" w:noHBand="0" w:noVBand="0"/>
      </w:tblPr>
      <w:tblGrid>
        <w:gridCol w:w="4072"/>
        <w:gridCol w:w="5178"/>
      </w:tblGrid>
      <w:tr w:rsidR="00304FAB" w:rsidRPr="007E0BC8" w:rsidTr="00177CF3">
        <w:trPr>
          <w:trHeight w:val="256"/>
        </w:trPr>
        <w:tc>
          <w:tcPr>
            <w:tcW w:w="4860" w:type="dxa"/>
            <w:vAlign w:val="center"/>
          </w:tcPr>
          <w:p w:rsidR="00304FAB" w:rsidRPr="007E0BC8" w:rsidRDefault="00304FAB" w:rsidP="00304FAB">
            <w:pPr>
              <w:pStyle w:val="a8"/>
              <w:tabs>
                <w:tab w:val="left" w:pos="709"/>
                <w:tab w:val="left" w:pos="5620"/>
              </w:tabs>
              <w:ind w:firstLine="567"/>
              <w:jc w:val="center"/>
              <w:rPr>
                <w:b/>
                <w:sz w:val="20"/>
                <w:lang w:val="uk-UA"/>
              </w:rPr>
            </w:pPr>
            <w:r w:rsidRPr="007E0BC8">
              <w:rPr>
                <w:b/>
                <w:sz w:val="20"/>
                <w:lang w:val="uk-UA"/>
              </w:rPr>
              <w:t>ТУРОПЕРАТОР :</w:t>
            </w:r>
          </w:p>
        </w:tc>
        <w:tc>
          <w:tcPr>
            <w:tcW w:w="4860" w:type="dxa"/>
            <w:vAlign w:val="center"/>
          </w:tcPr>
          <w:p w:rsidR="00304FAB" w:rsidRPr="007E0BC8" w:rsidRDefault="00304FAB" w:rsidP="00304FAB">
            <w:pPr>
              <w:pStyle w:val="a8"/>
              <w:tabs>
                <w:tab w:val="left" w:pos="709"/>
                <w:tab w:val="left" w:pos="5620"/>
              </w:tabs>
              <w:ind w:firstLine="567"/>
              <w:jc w:val="center"/>
              <w:rPr>
                <w:b/>
                <w:sz w:val="20"/>
                <w:lang w:val="uk-UA"/>
              </w:rPr>
            </w:pPr>
            <w:r w:rsidRPr="007E0BC8">
              <w:rPr>
                <w:b/>
                <w:sz w:val="20"/>
                <w:lang w:val="uk-UA"/>
              </w:rPr>
              <w:t>ТУРАГЕНТ:</w:t>
            </w:r>
          </w:p>
        </w:tc>
      </w:tr>
      <w:tr w:rsidR="00304FAB" w:rsidRPr="007E0BC8" w:rsidTr="00177CF3">
        <w:trPr>
          <w:trHeight w:val="60"/>
        </w:trPr>
        <w:tc>
          <w:tcPr>
            <w:tcW w:w="4860" w:type="dxa"/>
          </w:tcPr>
          <w:p w:rsidR="00304FAB" w:rsidRPr="007E0BC8" w:rsidRDefault="00304FAB" w:rsidP="00CB418A">
            <w:pPr>
              <w:pStyle w:val="a8"/>
              <w:tabs>
                <w:tab w:val="left" w:pos="709"/>
                <w:tab w:val="left" w:pos="5620"/>
              </w:tabs>
              <w:jc w:val="center"/>
              <w:rPr>
                <w:b/>
                <w:sz w:val="20"/>
                <w:lang w:val="uk-UA"/>
              </w:rPr>
            </w:pPr>
            <w:r w:rsidRPr="007E0BC8">
              <w:rPr>
                <w:sz w:val="20"/>
                <w:lang w:val="uk-UA"/>
              </w:rPr>
              <w:t xml:space="preserve">  </w:t>
            </w:r>
            <w:r w:rsidR="00CB418A" w:rsidRPr="007E0BC8">
              <w:rPr>
                <w:b/>
                <w:sz w:val="20"/>
                <w:lang w:val="uk-UA"/>
              </w:rPr>
              <w:t>ТОВ «</w:t>
            </w:r>
            <w:r w:rsidRPr="007E0BC8">
              <w:rPr>
                <w:b/>
                <w:sz w:val="20"/>
                <w:lang w:val="uk-UA"/>
              </w:rPr>
              <w:t xml:space="preserve">Туристична компанія </w:t>
            </w:r>
            <w:r w:rsidR="00CB418A" w:rsidRPr="007E0BC8">
              <w:rPr>
                <w:b/>
                <w:sz w:val="20"/>
                <w:lang w:val="uk-UA"/>
              </w:rPr>
              <w:t>«</w:t>
            </w:r>
            <w:proofErr w:type="spellStart"/>
            <w:r w:rsidR="00CB418A" w:rsidRPr="007E0BC8">
              <w:rPr>
                <w:b/>
                <w:sz w:val="20"/>
                <w:lang w:val="uk-UA"/>
              </w:rPr>
              <w:t>Анекс</w:t>
            </w:r>
            <w:proofErr w:type="spellEnd"/>
            <w:r w:rsidR="00CB418A" w:rsidRPr="007E0BC8">
              <w:rPr>
                <w:b/>
                <w:sz w:val="20"/>
                <w:lang w:val="uk-UA"/>
              </w:rPr>
              <w:t xml:space="preserve"> Тур» </w:t>
            </w:r>
            <w:r w:rsidRPr="007E0BC8">
              <w:rPr>
                <w:b/>
                <w:sz w:val="20"/>
                <w:lang w:val="uk-UA"/>
              </w:rPr>
              <w:t xml:space="preserve"> </w:t>
            </w:r>
          </w:p>
          <w:p w:rsidR="00304FAB" w:rsidRPr="007E0BC8" w:rsidRDefault="00304FAB" w:rsidP="00CB418A">
            <w:pPr>
              <w:pStyle w:val="a8"/>
              <w:tabs>
                <w:tab w:val="left" w:pos="709"/>
                <w:tab w:val="left" w:pos="5620"/>
              </w:tabs>
              <w:ind w:firstLine="567"/>
              <w:jc w:val="center"/>
              <w:rPr>
                <w:sz w:val="20"/>
                <w:lang w:val="uk-UA"/>
              </w:rPr>
            </w:pPr>
            <w:r w:rsidRPr="007E0BC8">
              <w:rPr>
                <w:sz w:val="20"/>
                <w:lang w:val="uk-UA"/>
              </w:rPr>
              <w:t>Генеральний Директор ___________________ /</w:t>
            </w:r>
            <w:r w:rsidR="008933B8" w:rsidRPr="007E0BC8">
              <w:rPr>
                <w:lang w:val="uk-UA"/>
              </w:rPr>
              <w:t xml:space="preserve"> </w:t>
            </w:r>
            <w:proofErr w:type="spellStart"/>
            <w:r w:rsidR="008933B8" w:rsidRPr="007E0BC8">
              <w:rPr>
                <w:b/>
                <w:sz w:val="20"/>
                <w:lang w:val="uk-UA"/>
              </w:rPr>
              <w:t>Адигюзель</w:t>
            </w:r>
            <w:proofErr w:type="spellEnd"/>
            <w:r w:rsidR="008933B8" w:rsidRPr="007E0BC8">
              <w:rPr>
                <w:b/>
                <w:sz w:val="20"/>
                <w:lang w:val="uk-UA"/>
              </w:rPr>
              <w:t xml:space="preserve"> І</w:t>
            </w:r>
            <w:r w:rsidRPr="007E0BC8">
              <w:rPr>
                <w:b/>
                <w:sz w:val="20"/>
                <w:lang w:val="uk-UA"/>
              </w:rPr>
              <w:t>.</w:t>
            </w:r>
            <w:r w:rsidRPr="007E0BC8">
              <w:rPr>
                <w:sz w:val="20"/>
                <w:lang w:val="uk-UA"/>
              </w:rPr>
              <w:t>/</w:t>
            </w:r>
          </w:p>
          <w:p w:rsidR="00304FAB" w:rsidRPr="007E0BC8" w:rsidRDefault="00304FAB" w:rsidP="00304FAB">
            <w:pPr>
              <w:pStyle w:val="a8"/>
              <w:tabs>
                <w:tab w:val="left" w:pos="709"/>
                <w:tab w:val="left" w:pos="5620"/>
              </w:tabs>
              <w:ind w:firstLine="567"/>
              <w:jc w:val="center"/>
              <w:rPr>
                <w:sz w:val="20"/>
                <w:lang w:val="uk-UA"/>
              </w:rPr>
            </w:pPr>
            <w:r w:rsidRPr="007E0BC8">
              <w:rPr>
                <w:sz w:val="20"/>
                <w:lang w:val="uk-UA"/>
              </w:rPr>
              <w:t>М. П.</w:t>
            </w:r>
          </w:p>
        </w:tc>
        <w:tc>
          <w:tcPr>
            <w:tcW w:w="4860" w:type="dxa"/>
          </w:tcPr>
          <w:p w:rsidR="00304FAB" w:rsidRPr="007E0BC8" w:rsidRDefault="00304FAB" w:rsidP="00304FAB">
            <w:pPr>
              <w:pStyle w:val="a8"/>
              <w:tabs>
                <w:tab w:val="left" w:pos="709"/>
                <w:tab w:val="left" w:pos="5620"/>
              </w:tabs>
              <w:ind w:firstLine="567"/>
              <w:jc w:val="center"/>
              <w:rPr>
                <w:sz w:val="20"/>
                <w:lang w:val="uk-UA"/>
              </w:rPr>
            </w:pPr>
            <w:r w:rsidRPr="007E0BC8">
              <w:rPr>
                <w:sz w:val="20"/>
                <w:lang w:val="uk-UA"/>
              </w:rPr>
              <w:t>____________________________________________</w:t>
            </w:r>
          </w:p>
          <w:p w:rsidR="00304FAB" w:rsidRPr="007E0BC8" w:rsidRDefault="00304FAB" w:rsidP="00304FAB">
            <w:pPr>
              <w:pStyle w:val="a8"/>
              <w:tabs>
                <w:tab w:val="left" w:pos="709"/>
                <w:tab w:val="left" w:pos="5620"/>
              </w:tabs>
              <w:ind w:firstLine="567"/>
              <w:jc w:val="center"/>
              <w:rPr>
                <w:sz w:val="20"/>
                <w:lang w:val="uk-UA"/>
              </w:rPr>
            </w:pPr>
            <w:r w:rsidRPr="007E0BC8">
              <w:rPr>
                <w:sz w:val="20"/>
                <w:lang w:val="uk-UA"/>
              </w:rPr>
              <w:t>_________________________________________ /_____________/</w:t>
            </w:r>
          </w:p>
          <w:p w:rsidR="00304FAB" w:rsidRPr="007E0BC8" w:rsidRDefault="00304FAB" w:rsidP="00304FAB">
            <w:pPr>
              <w:pStyle w:val="a8"/>
              <w:tabs>
                <w:tab w:val="left" w:pos="709"/>
                <w:tab w:val="left" w:pos="5620"/>
              </w:tabs>
              <w:ind w:firstLine="567"/>
              <w:jc w:val="center"/>
              <w:rPr>
                <w:sz w:val="20"/>
                <w:lang w:val="uk-UA"/>
              </w:rPr>
            </w:pPr>
            <w:r w:rsidRPr="007E0BC8">
              <w:rPr>
                <w:sz w:val="20"/>
                <w:lang w:val="uk-UA"/>
              </w:rPr>
              <w:t>М. П.</w:t>
            </w:r>
          </w:p>
        </w:tc>
      </w:tr>
    </w:tbl>
    <w:p w:rsidR="00640524" w:rsidRPr="007E0BC8" w:rsidRDefault="00CD1FAC">
      <w:pPr>
        <w:rPr>
          <w:lang w:val="uk-UA"/>
        </w:rPr>
      </w:pPr>
    </w:p>
    <w:sectPr w:rsidR="00640524" w:rsidRPr="007E0BC8">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FAC" w:rsidRDefault="00CD1FAC" w:rsidP="00060AED">
      <w:r>
        <w:separator/>
      </w:r>
    </w:p>
  </w:endnote>
  <w:endnote w:type="continuationSeparator" w:id="0">
    <w:p w:rsidR="00CD1FAC" w:rsidRDefault="00CD1FAC" w:rsidP="00060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ED" w:rsidRDefault="00060AED">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359599"/>
      <w:docPartObj>
        <w:docPartGallery w:val="Page Numbers (Bottom of Page)"/>
        <w:docPartUnique/>
      </w:docPartObj>
    </w:sdtPr>
    <w:sdtEndPr>
      <w:rPr>
        <w:sz w:val="16"/>
        <w:szCs w:val="16"/>
      </w:rPr>
    </w:sdtEndPr>
    <w:sdtContent>
      <w:p w:rsidR="00060AED" w:rsidRPr="00060AED" w:rsidRDefault="00060AED">
        <w:pPr>
          <w:pStyle w:val="ac"/>
          <w:jc w:val="right"/>
          <w:rPr>
            <w:sz w:val="16"/>
            <w:szCs w:val="16"/>
          </w:rPr>
        </w:pPr>
        <w:r w:rsidRPr="00060AED">
          <w:rPr>
            <w:sz w:val="16"/>
            <w:szCs w:val="16"/>
          </w:rPr>
          <w:fldChar w:fldCharType="begin"/>
        </w:r>
        <w:r w:rsidRPr="00060AED">
          <w:rPr>
            <w:sz w:val="16"/>
            <w:szCs w:val="16"/>
          </w:rPr>
          <w:instrText>PAGE   \* MERGEFORMAT</w:instrText>
        </w:r>
        <w:r w:rsidRPr="00060AED">
          <w:rPr>
            <w:sz w:val="16"/>
            <w:szCs w:val="16"/>
          </w:rPr>
          <w:fldChar w:fldCharType="separate"/>
        </w:r>
        <w:r w:rsidR="007E0BC8">
          <w:rPr>
            <w:noProof/>
            <w:sz w:val="16"/>
            <w:szCs w:val="16"/>
          </w:rPr>
          <w:t>1</w:t>
        </w:r>
        <w:r w:rsidRPr="00060AED">
          <w:rPr>
            <w:sz w:val="16"/>
            <w:szCs w:val="16"/>
          </w:rPr>
          <w:fldChar w:fldCharType="end"/>
        </w:r>
      </w:p>
    </w:sdtContent>
  </w:sdt>
  <w:p w:rsidR="00060AED" w:rsidRDefault="00060AED">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ED" w:rsidRDefault="00060AED">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FAC" w:rsidRDefault="00CD1FAC" w:rsidP="00060AED">
      <w:r>
        <w:separator/>
      </w:r>
    </w:p>
  </w:footnote>
  <w:footnote w:type="continuationSeparator" w:id="0">
    <w:p w:rsidR="00CD1FAC" w:rsidRDefault="00CD1FAC" w:rsidP="00060A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ED" w:rsidRDefault="00060AED">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ED" w:rsidRDefault="00060AED">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ED" w:rsidRDefault="00060AED">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94D"/>
    <w:multiLevelType w:val="hybridMultilevel"/>
    <w:tmpl w:val="089C8A94"/>
    <w:lvl w:ilvl="0" w:tplc="E2D21864">
      <w:start w:val="1"/>
      <w:numFmt w:val="decimal"/>
      <w:lvlText w:val="%1."/>
      <w:lvlJc w:val="left"/>
      <w:pPr>
        <w:ind w:left="720" w:hanging="360"/>
      </w:pPr>
      <w:rPr>
        <w:sz w:val="2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FAB"/>
    <w:rsid w:val="00060AED"/>
    <w:rsid w:val="000D0110"/>
    <w:rsid w:val="002D2C5C"/>
    <w:rsid w:val="00304FAB"/>
    <w:rsid w:val="007E0BC8"/>
    <w:rsid w:val="008933B8"/>
    <w:rsid w:val="008C7090"/>
    <w:rsid w:val="00AB7C59"/>
    <w:rsid w:val="00C1300B"/>
    <w:rsid w:val="00CB418A"/>
    <w:rsid w:val="00CD1FAC"/>
    <w:rsid w:val="00E558F4"/>
    <w:rsid w:val="00E66FD3"/>
    <w:rsid w:val="00FF3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8773D"/>
  <w15:chartTrackingRefBased/>
  <w15:docId w15:val="{D7F57B13-CCDC-447B-B18C-D05389D1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FAB"/>
    <w:pPr>
      <w:spacing w:after="0" w:line="240" w:lineRule="auto"/>
    </w:pPr>
    <w:rPr>
      <w:rFonts w:ascii="Times New Roman" w:eastAsia="Malgun Gothic"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aliases w:val="i Знак"/>
    <w:basedOn w:val="a0"/>
    <w:link w:val="a4"/>
    <w:locked/>
    <w:rsid w:val="00304FAB"/>
    <w:rPr>
      <w:rFonts w:ascii="Times New Roman" w:eastAsia="Malgun Gothic" w:hAnsi="Times New Roman" w:cs="Times New Roman"/>
      <w:i/>
      <w:lang w:val="en-GB" w:eastAsia="ru-RU"/>
    </w:rPr>
  </w:style>
  <w:style w:type="paragraph" w:styleId="a4">
    <w:name w:val="Body Text Indent"/>
    <w:aliases w:val="i"/>
    <w:basedOn w:val="a"/>
    <w:link w:val="a3"/>
    <w:unhideWhenUsed/>
    <w:rsid w:val="00304FAB"/>
    <w:pPr>
      <w:keepNext/>
      <w:autoSpaceDE w:val="0"/>
      <w:autoSpaceDN w:val="0"/>
      <w:adjustRightInd w:val="0"/>
      <w:jc w:val="both"/>
    </w:pPr>
    <w:rPr>
      <w:i/>
      <w:sz w:val="22"/>
      <w:szCs w:val="22"/>
      <w:lang w:val="en-GB"/>
    </w:rPr>
  </w:style>
  <w:style w:type="character" w:customStyle="1" w:styleId="1">
    <w:name w:val="Основной текст с отступом Знак1"/>
    <w:basedOn w:val="a0"/>
    <w:uiPriority w:val="99"/>
    <w:semiHidden/>
    <w:rsid w:val="00304FAB"/>
    <w:rPr>
      <w:rFonts w:ascii="Times New Roman" w:eastAsia="Malgun Gothic" w:hAnsi="Times New Roman" w:cs="Times New Roman"/>
      <w:sz w:val="24"/>
      <w:szCs w:val="24"/>
      <w:lang w:eastAsia="ru-RU"/>
    </w:rPr>
  </w:style>
  <w:style w:type="paragraph" w:styleId="a5">
    <w:name w:val="List Paragraph"/>
    <w:basedOn w:val="a"/>
    <w:link w:val="a6"/>
    <w:uiPriority w:val="99"/>
    <w:qFormat/>
    <w:rsid w:val="00304FAB"/>
    <w:pPr>
      <w:ind w:left="720"/>
      <w:contextualSpacing/>
    </w:pPr>
  </w:style>
  <w:style w:type="character" w:customStyle="1" w:styleId="a6">
    <w:name w:val="Абзац списка Знак"/>
    <w:link w:val="a5"/>
    <w:uiPriority w:val="99"/>
    <w:locked/>
    <w:rsid w:val="00304FAB"/>
    <w:rPr>
      <w:rFonts w:ascii="Times New Roman" w:eastAsia="Malgun Gothic" w:hAnsi="Times New Roman" w:cs="Times New Roman"/>
      <w:sz w:val="24"/>
      <w:szCs w:val="24"/>
      <w:lang w:eastAsia="ru-RU"/>
    </w:rPr>
  </w:style>
  <w:style w:type="character" w:styleId="a7">
    <w:name w:val="Hyperlink"/>
    <w:basedOn w:val="a0"/>
    <w:uiPriority w:val="99"/>
    <w:unhideWhenUsed/>
    <w:rsid w:val="00304FAB"/>
    <w:rPr>
      <w:color w:val="0563C1" w:themeColor="hyperlink"/>
      <w:u w:val="single"/>
    </w:rPr>
  </w:style>
  <w:style w:type="paragraph" w:styleId="a8">
    <w:name w:val="Body Text"/>
    <w:basedOn w:val="a"/>
    <w:link w:val="a9"/>
    <w:uiPriority w:val="99"/>
    <w:semiHidden/>
    <w:unhideWhenUsed/>
    <w:rsid w:val="00304FAB"/>
    <w:pPr>
      <w:spacing w:after="120"/>
    </w:pPr>
  </w:style>
  <w:style w:type="character" w:customStyle="1" w:styleId="a9">
    <w:name w:val="Основной текст Знак"/>
    <w:basedOn w:val="a0"/>
    <w:link w:val="a8"/>
    <w:uiPriority w:val="99"/>
    <w:semiHidden/>
    <w:rsid w:val="00304FAB"/>
    <w:rPr>
      <w:rFonts w:ascii="Times New Roman" w:eastAsia="Malgun Gothic" w:hAnsi="Times New Roman" w:cs="Times New Roman"/>
      <w:sz w:val="24"/>
      <w:szCs w:val="24"/>
      <w:lang w:eastAsia="ru-RU"/>
    </w:rPr>
  </w:style>
  <w:style w:type="paragraph" w:styleId="aa">
    <w:name w:val="header"/>
    <w:basedOn w:val="a"/>
    <w:link w:val="ab"/>
    <w:uiPriority w:val="99"/>
    <w:unhideWhenUsed/>
    <w:rsid w:val="00060AED"/>
    <w:pPr>
      <w:tabs>
        <w:tab w:val="center" w:pos="4677"/>
        <w:tab w:val="right" w:pos="9355"/>
      </w:tabs>
    </w:pPr>
  </w:style>
  <w:style w:type="character" w:customStyle="1" w:styleId="ab">
    <w:name w:val="Верхний колонтитул Знак"/>
    <w:basedOn w:val="a0"/>
    <w:link w:val="aa"/>
    <w:uiPriority w:val="99"/>
    <w:rsid w:val="00060AED"/>
    <w:rPr>
      <w:rFonts w:ascii="Times New Roman" w:eastAsia="Malgun Gothic" w:hAnsi="Times New Roman" w:cs="Times New Roman"/>
      <w:sz w:val="24"/>
      <w:szCs w:val="24"/>
      <w:lang w:eastAsia="ru-RU"/>
    </w:rPr>
  </w:style>
  <w:style w:type="paragraph" w:styleId="ac">
    <w:name w:val="footer"/>
    <w:basedOn w:val="a"/>
    <w:link w:val="ad"/>
    <w:uiPriority w:val="99"/>
    <w:unhideWhenUsed/>
    <w:rsid w:val="00060AED"/>
    <w:pPr>
      <w:tabs>
        <w:tab w:val="center" w:pos="4677"/>
        <w:tab w:val="right" w:pos="9355"/>
      </w:tabs>
    </w:pPr>
  </w:style>
  <w:style w:type="character" w:customStyle="1" w:styleId="ad">
    <w:name w:val="Нижний колонтитул Знак"/>
    <w:basedOn w:val="a0"/>
    <w:link w:val="ac"/>
    <w:uiPriority w:val="99"/>
    <w:rsid w:val="00060AED"/>
    <w:rPr>
      <w:rFonts w:ascii="Times New Roman" w:eastAsia="Malgun Gothic"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extour.com.u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BF92F-B60E-4E6E-8613-38409BC3C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1293</Words>
  <Characters>7371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 Law</dc:creator>
  <cp:keywords/>
  <dc:description/>
  <cp:lastModifiedBy>Anex Tour</cp:lastModifiedBy>
  <cp:revision>3</cp:revision>
  <dcterms:created xsi:type="dcterms:W3CDTF">2024-09-05T06:14:00Z</dcterms:created>
  <dcterms:modified xsi:type="dcterms:W3CDTF">2024-09-05T06:23:00Z</dcterms:modified>
</cp:coreProperties>
</file>